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РАБОЧАЯ ПРОГРАММА УЧЕБНОЙ ДИСЦИПЛИНЫ</w:t>
      </w:r>
    </w:p>
    <w:p>
      <w:pPr>
        <w:pStyle w:val="Normal"/>
        <w:widowControl w:val="false"/>
        <w:spacing w:lineRule="auto" w:line="240" w:before="120" w:after="0"/>
        <w:jc w:val="center"/>
        <w:rPr>
          <w:rFonts w:ascii="Times New Roman" w:hAnsi="Times New Roman" w:eastAsia="Batang"/>
          <w:b/>
          <w:sz w:val="20"/>
          <w:szCs w:val="20"/>
          <w:lang w:eastAsia="ko-KR"/>
        </w:rPr>
      </w:pPr>
      <w:r>
        <w:rPr>
          <w:rFonts w:eastAsia="Batang" w:ascii="Times New Roman" w:hAnsi="Times New Roman"/>
          <w:b/>
          <w:sz w:val="20"/>
          <w:szCs w:val="20"/>
          <w:lang w:eastAsia="ko-KR"/>
        </w:rPr>
        <w:t>« БЕЗОПАСНОСТЬ ЖИЗНЕДЕЯТЕЛЬНОСТИ»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2025 г.</w:t>
      </w:r>
      <w:r>
        <w:br w:type="page"/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СОДЕРЖАНИЕ</w:t>
      </w:r>
    </w:p>
    <w:p>
      <w:pPr>
        <w:pStyle w:val="Normal"/>
        <w:spacing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500"/>
        <w:gridCol w:w="1854"/>
      </w:tblGrid>
      <w:tr>
        <w:trPr/>
        <w:tc>
          <w:tcPr>
            <w:tcW w:w="7500" w:type="dxa"/>
            <w:tcBorders/>
          </w:tcPr>
          <w:p>
            <w:pPr>
              <w:pStyle w:val="ListParagraph"/>
              <w:numPr>
                <w:ilvl w:val="0"/>
                <w:numId w:val="13"/>
              </w:numPr>
              <w:suppressAutoHyphens w:val="true"/>
              <w:spacing w:lineRule="auto" w:line="276" w:before="0" w:after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ХАРАКТЕРИСТИКА </w:t>
            </w:r>
            <w:r>
              <w:rPr>
                <w:b/>
                <w:color w:val="000000"/>
                <w:sz w:val="20"/>
                <w:szCs w:val="20"/>
              </w:rPr>
              <w:t>ПРИМЕРНОЙ РАБОЧЕЙ ПРОГРАММЫ</w:t>
            </w:r>
            <w:r>
              <w:rPr>
                <w:b/>
                <w:sz w:val="20"/>
                <w:szCs w:val="20"/>
              </w:rPr>
              <w:t xml:space="preserve"> УЧЕБНОЙ ДИСЦИПЛИНЫ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7500" w:type="dxa"/>
            <w:tcBorders/>
          </w:tcPr>
          <w:p>
            <w:pPr>
              <w:pStyle w:val="ListParagraph"/>
              <w:numPr>
                <w:ilvl w:val="0"/>
                <w:numId w:val="14"/>
              </w:numPr>
              <w:suppressAutoHyphens w:val="true"/>
              <w:spacing w:lineRule="auto" w:line="276" w:before="0" w:after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СОДЕРЖАНИЕ УЧЕБНОЙ ДИСЦИПЛИНЫ</w:t>
            </w:r>
          </w:p>
          <w:p>
            <w:pPr>
              <w:pStyle w:val="Normal"/>
              <w:numPr>
                <w:ilvl w:val="0"/>
                <w:numId w:val="15"/>
              </w:numPr>
              <w:suppressAutoHyphens w:val="true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УСЛОВИЯ РЕАЛИЗАЦИИ УЧЕБНОЙ ДИСЦИПЛИНЫ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7500" w:type="dxa"/>
            <w:tcBorders/>
          </w:tcPr>
          <w:p>
            <w:pPr>
              <w:pStyle w:val="Normal"/>
              <w:numPr>
                <w:ilvl w:val="0"/>
                <w:numId w:val="16"/>
              </w:numPr>
              <w:suppressAutoHyphens w:val="true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И ОЦЕНКА РЕЗУЛЬТАТОВ ОСВОЕНИЯ УЧЕБНОЙ ДИСЦИПЛИНЫ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before="0" w:after="0"/>
        <w:ind w:left="644"/>
        <w:jc w:val="center"/>
        <w:rPr>
          <w:rFonts w:ascii="Times New Roman" w:hAnsi="Times New Roman"/>
          <w:b/>
          <w:sz w:val="20"/>
          <w:szCs w:val="20"/>
        </w:rPr>
      </w:pPr>
      <w:r>
        <w:br w:type="page"/>
      </w:r>
      <w:r>
        <w:rPr>
          <w:rFonts w:ascii="Times New Roman" w:hAnsi="Times New Roman"/>
          <w:b/>
          <w:sz w:val="20"/>
          <w:szCs w:val="20"/>
        </w:rPr>
        <w:t xml:space="preserve">1. ОБЩАЯ ХАРАКТЕРИСТИКА </w:t>
      </w:r>
      <w:r>
        <w:rPr>
          <w:rFonts w:ascii="Times New Roman" w:hAnsi="Times New Roman"/>
          <w:b/>
          <w:color w:val="000000"/>
          <w:sz w:val="20"/>
          <w:szCs w:val="20"/>
        </w:rPr>
        <w:t>РАБОЧЕЙ ПРОГРАММЫ</w:t>
      </w:r>
      <w:r>
        <w:rPr>
          <w:rFonts w:ascii="Times New Roman" w:hAnsi="Times New Roman"/>
          <w:b/>
          <w:sz w:val="20"/>
          <w:szCs w:val="20"/>
        </w:rPr>
        <w:t xml:space="preserve"> УЧЕБНОЙ ДИСЦИПЛИНЫ  «</w:t>
      </w:r>
      <w:r>
        <w:rPr>
          <w:rFonts w:eastAsia="Batang" w:ascii="Times New Roman" w:hAnsi="Times New Roman"/>
          <w:b/>
          <w:sz w:val="20"/>
          <w:szCs w:val="20"/>
          <w:lang w:eastAsia="ko-KR"/>
        </w:rPr>
        <w:t>Безопасность жизнедеятельности</w:t>
      </w:r>
      <w:r>
        <w:rPr>
          <w:rFonts w:ascii="Times New Roman" w:hAnsi="Times New Roman"/>
          <w:b/>
          <w:sz w:val="20"/>
          <w:szCs w:val="20"/>
        </w:rPr>
        <w:t>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1.1. Место дисциплины в структуре основной образовательной программы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Учебная дисциплина «СГ.03 </w:t>
      </w:r>
      <w:r>
        <w:rPr>
          <w:rFonts w:eastAsia="Batang" w:ascii="Times New Roman" w:hAnsi="Times New Roman"/>
          <w:sz w:val="20"/>
          <w:szCs w:val="20"/>
          <w:lang w:eastAsia="ko-KR"/>
        </w:rPr>
        <w:t>Безопасность жизнедеятельности</w:t>
      </w:r>
      <w:r>
        <w:rPr>
          <w:rFonts w:ascii="Times New Roman" w:hAnsi="Times New Roman"/>
          <w:sz w:val="20"/>
          <w:szCs w:val="20"/>
        </w:rPr>
        <w:t>» является обязательной частью социально-гуманитарного цикла примерной основной образовательной программы в соответствии с ФГОС СПО по профессии 15.01.37 Слесарь-наладчик контрольно-измерительных приборов и автоматики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bCs/>
          <w:i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20" w:right="-18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Программа учебной дисциплины может быть использована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дополнительном профессиональном образовании в рамках реализации программ переподготовки кадров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20" w:right="-18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учреждениях СПО.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8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8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1.2. Место дисциплины в структуре основной профессиональной образовательной программы: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Учебная дисциплина «Безопасность жизнедеятельности» относится к общепрофессиональному циклу основной профессиональной образовательной программы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1.3. Цели и задачи дисциплины – требования к результатам освоения дисциплины: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Цель дисциплины</w:t>
      </w:r>
      <w:r>
        <w:rPr>
          <w:rFonts w:ascii="Times New Roman" w:hAnsi="Times New Roman"/>
          <w:sz w:val="20"/>
          <w:szCs w:val="20"/>
        </w:rPr>
        <w:t xml:space="preserve"> «Безопасность жизнедеятельности» – вооружить будущих выпускников учреждений СПО теоретическими знаниями и практическими навыками, необходимыми для: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разработки и реализации мер защиты человека и среды обитания от негативных воздействий чрезвычайных ситуаций мирного и военного времени;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прогнозирования развития и оценки последствий чрезвычайных ситуаций;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принятия решений по защите населения и территорий от возможных последствий аварий, катастроф, стихийных бедствий и применения современных средств поражения, а также принятия мер по ликвидации их воздействий;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выполнения конституционного долга и обязанности по защите Отечества в рядах Вооружённых Сил Российской Федерации;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своевременного оказания доврачебной помощи.</w:t>
      </w:r>
    </w:p>
    <w:p>
      <w:pPr>
        <w:pStyle w:val="Normal"/>
        <w:tabs>
          <w:tab w:val="clear" w:pos="708"/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0"/>
          <w:szCs w:val="20"/>
        </w:rPr>
        <w:t>уметь</w:t>
      </w:r>
      <w:r>
        <w:rPr>
          <w:rFonts w:ascii="Times New Roman" w:hAnsi="Times New Roman"/>
          <w:sz w:val="20"/>
          <w:szCs w:val="20"/>
        </w:rPr>
        <w:t>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использовать средства индивидуальной и коллективной защиты от оружия массового поражения;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применять первичные средства пожаротушения;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оказывать первую помощь пострадавшим.</w:t>
      </w:r>
    </w:p>
    <w:p>
      <w:pPr>
        <w:pStyle w:val="Normal"/>
        <w:tabs>
          <w:tab w:val="clear" w:pos="708"/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0"/>
          <w:szCs w:val="20"/>
        </w:rPr>
        <w:t>знать: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основы военной службы и обороны государства;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задачи и основные мероприятия гражданской обороны;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способы защиты населения от оружия массового поражения;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меры пожарной безопасности и правила безопасного поведения при пожарах;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организацию и порядок призыва граждан на военную службу и поступления на неё в добровольном порядке;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область применения получаемых профессиональных знаний при исполнении обязанностей военной службы;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и правила оказания первой помощи пострадавшим.</w:t>
      </w:r>
    </w:p>
    <w:p>
      <w:pPr>
        <w:pStyle w:val="Normal"/>
        <w:tabs>
          <w:tab w:val="clear" w:pos="708"/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1.4. количество часов на освоение программы дисциплины: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91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0"/>
          <w:szCs w:val="20"/>
        </w:rPr>
        <w:t>79</w:t>
      </w:r>
      <w:r>
        <w:rPr>
          <w:rFonts w:ascii="Times New Roman" w:hAnsi="Times New Roman"/>
          <w:sz w:val="20"/>
          <w:szCs w:val="20"/>
        </w:rPr>
        <w:t xml:space="preserve"> часа, в том числе: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обязательной аудиторной учебной нагрузки обучающегося 71 часа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Консультации –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часа;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Промежуточная аттестация – 6 часов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СТРУКТУРА И СОДЕРЖАНИЕ УЧЕБНОЙ ДИСЦИПЛИНЫ «БЕЗОПАСНОСТЬ ЖИЗНЕДЕЯТЕЛЬНОСТИ»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-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-18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2.1. Объем учебной дисциплины и виды учебной работы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-180" w:right="-18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612"/>
        <w:gridCol w:w="1418"/>
      </w:tblGrid>
      <w:tr>
        <w:trPr>
          <w:trHeight w:val="460" w:hRule="atLeast"/>
        </w:trPr>
        <w:tc>
          <w:tcPr>
            <w:tcW w:w="8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учебной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8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79</w:t>
            </w:r>
          </w:p>
        </w:tc>
      </w:tr>
      <w:tr>
        <w:trPr/>
        <w:tc>
          <w:tcPr>
            <w:tcW w:w="8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Обязательная аудиторная учебная нагрузка (всего)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71</w:t>
            </w:r>
          </w:p>
        </w:tc>
      </w:tr>
      <w:tr>
        <w:trPr/>
        <w:tc>
          <w:tcPr>
            <w:tcW w:w="8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8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62</w:t>
            </w:r>
          </w:p>
        </w:tc>
      </w:tr>
      <w:tr>
        <w:trPr/>
        <w:tc>
          <w:tcPr>
            <w:tcW w:w="8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 – 2 часа;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 – 6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10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Итоговая аттестация в форме экзамена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orient="landscape" w:w="16838" w:h="11906"/>
          <w:pgMar w:left="851" w:right="851" w:gutter="0" w:header="0" w:top="1418" w:footer="567" w:bottom="624"/>
          <w:pgNumType w:fmt="decimal"/>
          <w:formProt w:val="false"/>
          <w:titlePg/>
          <w:textDirection w:val="lrTb"/>
          <w:docGrid w:type="default" w:linePitch="326" w:charSpace="4096"/>
        </w:sectPr>
      </w:pP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284"/>
        <w:jc w:val="both"/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2. тематический план и содержание учебной дисциплины</w:t>
      </w:r>
      <w:r>
        <w:rPr>
          <w:b/>
          <w:caps/>
          <w:sz w:val="20"/>
          <w:szCs w:val="20"/>
        </w:rPr>
        <w:t xml:space="preserve"> «БЕЗОПАСНОСТЬ ЖИЗНЕДЕЯТЕЛЬНОСТИ»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561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34"/>
        <w:gridCol w:w="10890"/>
        <w:gridCol w:w="993"/>
        <w:gridCol w:w="5"/>
        <w:gridCol w:w="1271"/>
        <w:gridCol w:w="24"/>
      </w:tblGrid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Уровень освоения</w:t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1.</w:t>
            </w:r>
          </w:p>
          <w:p>
            <w:pPr>
              <w:pStyle w:val="Normal"/>
              <w:shd w:val="clear" w:color="auto" w:fill="FFFFFF"/>
              <w:spacing w:before="0" w:after="0"/>
              <w:ind w:left="19" w:right="1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Организация гражданской обороны и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защиты населения от чрезвычайных ситуаций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1.1</w:t>
            </w:r>
          </w:p>
          <w:p>
            <w:pPr>
              <w:pStyle w:val="Normal"/>
              <w:shd w:val="clear" w:color="auto" w:fill="FFFFFF"/>
              <w:spacing w:before="0" w:after="0"/>
              <w:ind w:left="24" w:right="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Гражданская оборона и защита от чрезвычайных ситуаций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1. Опасности военного характера и присущие им особенности. Поражающие факторы ядерного, химического, бактериологического и обычного оружия.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ind w:left="19" w:right="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Виды и характеристики источников чрезвычайных ситуаций. Поражающие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факторы источников чрезвычайных ситуаций.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ind w:left="19" w:right="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 Средства пожаротушения. Техника безопасности при пожарах.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ind w:left="19" w:right="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при землетрясениях, извержениях вулканов, ураганах, бурях, смерчах, грозах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ind w:right="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Оповещение. Действия населения при оповещении о чрезвычайных ситуация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Эвакуация и рассредоточение. Защита населения путем эвакуации.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проведения эвакуации.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ind w:right="1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Средства индивидуальной защиты от оружия массового поражения. Отработка нормативов  надевания противогаза.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Средства коллективной защиты от оружия массового поражения.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Отработка действий при возникновении аварии с выбросом сильно действующих ядовитых веществ.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Отработка действий при возникновении радиационной аварии.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Обеспечение безопасности при нахождении на территории ведения боевых действий и во время общественных беспорядков.   Обеспечение безопасности при обнаружении подозрительных предметов, угрозе совершения и совершённом теракте. Обеспечение безопасности в случае захвата заложником.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2.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военной службы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2.1. Вооружённые Силы России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Состав и организационная структура Вооружённых Сил.     Виды Вооружённых Сил и рода войск.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Система руководства и управления Вооружёнными Силами.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left="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 Воинская обязанность и комплектование Вооружённых Сил личным составом. Порядок прохождения военной службы.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2.2.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Уставы Вооружённых Сил России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 Военная присяга. Боевое знамя воинской части. Внутренний порядок, размещение и быт военнослужащих.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 Военнослужащие и взаимоотношения между ними. Воинская дисциплина.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 Караульная служба. Обязанности и действия часового. Наряд караулов, подготовка караулов.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 Суточный наряд роты. Обязанности лиц суточного наряда.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2.3.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Огневая подготовка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Материальная часть автомата Калашникова.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Неполная разборка и сборкам автомата.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2.4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Медико-санитарная подготовка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Общие сведения о ранах, осложнения ран, способах остановки кровотечения и обработки ран. Наложение кровоостанавливающего жгута (закрутки), пальцевое прижатие артерий. Наложение шины на место перелома, транспортировка поражённого. </w:t>
            </w:r>
            <w:r>
              <w:rPr>
                <w:rFonts w:ascii="Times New Roman" w:hAnsi="Times New Roman"/>
                <w:sz w:val="20"/>
                <w:szCs w:val="20"/>
              </w:rPr>
              <w:t>Наложение повязок на голову, туловище, верхние и нижние конечности.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определения пульса и дыхания и их оценка. Первая (доврачебная) помощь при ожогах.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(доврачебная) помощь при перегревании, переохлаждении организма, при обморожении и общем замерзании.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3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военной службы.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Учебные сборы</w:t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Введение.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Инструктаж по правилам проведения, ТБ и порядке прохождения сборов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и быт военнослужащих Основы безопасности военной службы</w:t>
            </w:r>
            <w:r>
              <w:rPr>
                <w:rFonts w:ascii="Times New Roman" w:hAnsi="Times New Roman"/>
                <w:sz w:val="20"/>
                <w:szCs w:val="20"/>
              </w:rPr>
              <w:t>. Осмотр казармы. Организация безопасности в условиях повседневной деятельности, распорядок дня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внутренней службы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Назначение и состав суточного наряда воинской части. Подготовка суточного наряда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 караульной  службы</w:t>
            </w:r>
            <w:r>
              <w:rPr>
                <w:rFonts w:ascii="Times New Roman" w:hAnsi="Times New Roman"/>
                <w:sz w:val="20"/>
                <w:szCs w:val="20"/>
              </w:rPr>
              <w:t>, обязанности часо</w:t>
              <w:softHyphen/>
              <w:t>вого. Несение караульной службы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Строевая подготовка</w:t>
            </w:r>
            <w:r>
              <w:rPr>
                <w:rFonts w:ascii="Times New Roman" w:hAnsi="Times New Roman"/>
                <w:sz w:val="20"/>
                <w:szCs w:val="20"/>
              </w:rPr>
              <w:t>. Одиночная строевая  подго</w:t>
              <w:softHyphen/>
              <w:t>товка , передви</w:t>
              <w:softHyphen/>
              <w:t>жение строем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Огневая    подготов</w:t>
              <w:softHyphen/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АК работа частей и механизмов автомата.  Правила стрельбы,  ведения огня из автомата. Меры безопасности при стрельбе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Тактическая под</w:t>
              <w:softHyphen/>
              <w:t>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Действия солдата в бою, обязанности солдата в бою, передвижение солда</w:t>
              <w:softHyphen/>
              <w:t>та в бою.  Команды, подаваемые на передвижение в бою и по рядок их выполнения. Ознакомление с образцами мотострелковой дивизии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Медицинская 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Оказание само и взаимо помощи при ранениях и травмах. Вынос раненых.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Радиационная, химическая и биологическая защита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Приемы и способы инди</w:t>
              <w:softHyphen/>
              <w:t>видуальной защиты. Преодоление участка местно</w:t>
              <w:softHyphen/>
              <w:t>сти, зараженного радиоак</w:t>
              <w:softHyphen/>
              <w:t>тивными веществами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96" w:hRule="atLeast"/>
        </w:trPr>
        <w:tc>
          <w:tcPr>
            <w:tcW w:w="2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Кросс 1 км.  Челночный бег, подтягивание. Тренировки. Метание гранаты, комплекс упражнений утренней зарядки</w:t>
            </w:r>
          </w:p>
        </w:tc>
        <w:tc>
          <w:tcPr>
            <w:tcW w:w="9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54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33"/>
        <w:gridCol w:w="13201"/>
      </w:tblGrid>
      <w:tr>
        <w:trPr>
          <w:trHeight w:val="20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Раздел 3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Основы военной службы.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Учебные сборы</w:t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 день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Основы подготовки гражданина к военной службе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Вводное занятие, проводимое перед началом учебных сборов со всеми участниками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Размещение и быт военнослужащих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Размещение военнослужащих, распорядок дня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Основы обеспечения безопасности военной службы. Довести до обучаемых опасные факторы военной службы, организацию обеспечения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Суточный наряд, обязанности лиц суточного наряда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Назначение и состав суточного наряда воинской части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караульной службы,  обязанности часового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Строевая подготовка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Физическая подготовка  Кросс 1 км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 – й  день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Медицинская подготовка Оказание само и взаимо помощи при ранениях и травмах. Вынос раненых.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Огневая    подготов</w:t>
              <w:softHyphen/>
              <w:t>ка  АК работа частей и механизмов автомата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Суточный наряд, обязанности лиц суточного наряда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караульной  службы, обязанности часо</w:t>
              <w:softHyphen/>
              <w:t>вого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3- й день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Физическая подготовка  Выполнение упражнений на спортивных снарядах, сдача нормативов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Тактическая под</w:t>
              <w:softHyphen/>
              <w:t>готовка  Действия солдата в бою, обязанности солдата в бою, передвижение солда</w:t>
              <w:softHyphen/>
              <w:t>та в бою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Радиационная, химическая и биологическая защита  Приемы и способы инди</w:t>
              <w:softHyphen/>
              <w:t>видуальной защиты. Пре одоление участка местно</w:t>
              <w:softHyphen/>
              <w:t>сти, зараженного радиоак</w:t>
              <w:softHyphen/>
              <w:t>тивными веществами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Строевая  подго</w:t>
              <w:softHyphen/>
              <w:t>товка  Отработка правил воин</w:t>
              <w:softHyphen/>
              <w:t>ского приветствия без оружия на месте и в дви</w:t>
              <w:softHyphen/>
              <w:t>жении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Суточный наряд, обязанности лиц суточного наряда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караульной  службы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4-й день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Физическая подготовка  Тренировки. Сдача нормативов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Тактическая подготовка  Команды, подаваемые на передвижение в бою и по рядок их выполнения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Огневая    подготовка  Правила стрельбы,  ведения огня из автомата. Меры безопасности при стрельбе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Строевая  подго</w:t>
              <w:softHyphen/>
              <w:t>товка  Отработка правил воин</w:t>
              <w:softHyphen/>
              <w:t>ского приветствия без оружия на месте и в дви</w:t>
              <w:softHyphen/>
              <w:t>жении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Суточный наряд, обязанности лиц суточного наряда Подготовка суточного наряда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караульной службы, обязанности часового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 день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Физическая подготовка Тренировки.  Сдача нормативов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Огневая подготовка  Практическая стрельба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Тактическая подготовка   Выбор места для стрельбы, самоокапывание и маскировки</w:t>
            </w:r>
          </w:p>
        </w:tc>
      </w:tr>
      <w:tr>
        <w:trPr>
          <w:trHeight w:val="20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Строевая подготовка.   Строй взвода</w:t>
            </w:r>
          </w:p>
        </w:tc>
      </w:tr>
      <w:tr>
        <w:trPr>
          <w:trHeight w:val="20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Итого 35 часов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3. условия реализации программы дисциплины «БЕЗОПАСНОСТЬ ЖИЗНЕДЕЯТЕЛЬНОСТИ»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3.1. Требования к минимальному материально-техническому обеспечению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Реализация программы дисциплины требует наличия учебного кабинета безопасности жизнедеятельности.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Оборудование учебного кабинета: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Общевойсковой защитный комплект (ОЗК)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Общевойсковой противогаз или противогаз ГП-7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Гопкалитовый патрон ДП-5В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Изолирующий противогаз в комплекте с регенеративным патроном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Респиратор Р-2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Индивидуальный противохимический пакет (ИПП-8, 9, 10, 11)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Ватно-марлевая повязка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Противопыльная тканевая маска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Медицинская сумка в комплекте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Носилки санитарные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Аптечка индивидуальная (АИ-2)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Бинты марлевые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Бинты эластичные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Жгуты кровоостанавливающие резиновые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Индивидуальные перевязочные пакеты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Косынки перевязочные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Ножницы для перевязочного материала прямые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Шприц-тюбики одноразового пользования (без наполнителя)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Шинный материал (металлические, Дитерихса)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Огнетушители порошковые (учебные)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Огнетушители пенные (учебные)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Огнетушители углекислотные (учебные)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Устройство отработки прицеливания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Учебные автоматы АК-74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Винтовки пневматические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Комплект плакатов по Гражданской обороне</w:t>
      </w:r>
    </w:p>
    <w:p>
      <w:pPr>
        <w:pStyle w:val="BodyTex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Комплект плакатов по Основам военной службы</w:t>
      </w:r>
    </w:p>
    <w:p>
      <w:pPr>
        <w:pStyle w:val="BodyText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Text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Технические средства обучения:</w:t>
      </w:r>
    </w:p>
    <w:p>
      <w:pPr>
        <w:pStyle w:val="BodyText"/>
        <w:numPr>
          <w:ilvl w:val="0"/>
          <w:numId w:val="7"/>
        </w:numPr>
        <w:spacing w:before="0" w:after="0"/>
        <w:ind w:hanging="357" w:left="1060"/>
        <w:rPr>
          <w:sz w:val="20"/>
          <w:szCs w:val="20"/>
        </w:rPr>
      </w:pPr>
      <w:r>
        <w:rPr>
          <w:sz w:val="20"/>
          <w:szCs w:val="20"/>
        </w:rPr>
        <w:t>Аудио-, видео-, проекционная аппаратура</w:t>
      </w:r>
    </w:p>
    <w:p>
      <w:pPr>
        <w:pStyle w:val="BodyText"/>
        <w:numPr>
          <w:ilvl w:val="0"/>
          <w:numId w:val="7"/>
        </w:numPr>
        <w:spacing w:before="0" w:after="0"/>
        <w:ind w:hanging="357" w:left="1060"/>
        <w:rPr>
          <w:sz w:val="20"/>
          <w:szCs w:val="20"/>
        </w:rPr>
      </w:pPr>
      <w:r>
        <w:rPr>
          <w:sz w:val="20"/>
          <w:szCs w:val="20"/>
        </w:rPr>
        <w:t>Войсковой прибор химической разведки (ВПХР)</w:t>
      </w:r>
    </w:p>
    <w:p>
      <w:pPr>
        <w:pStyle w:val="BodyText"/>
        <w:numPr>
          <w:ilvl w:val="0"/>
          <w:numId w:val="7"/>
        </w:numPr>
        <w:spacing w:before="0" w:after="0"/>
        <w:ind w:hanging="357" w:left="1060"/>
        <w:rPr>
          <w:sz w:val="20"/>
          <w:szCs w:val="20"/>
        </w:rPr>
      </w:pPr>
      <w:r>
        <w:rPr>
          <w:sz w:val="20"/>
          <w:szCs w:val="20"/>
        </w:rPr>
        <w:t>Рентгенметр ДП-5В</w:t>
      </w:r>
    </w:p>
    <w:p>
      <w:pPr>
        <w:pStyle w:val="BodyText"/>
        <w:spacing w:before="0" w:after="0"/>
        <w:ind w:left="70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sz w:val="20"/>
          <w:szCs w:val="20"/>
        </w:rPr>
      </w:pPr>
      <w:r>
        <w:rPr>
          <w:b/>
          <w:sz w:val="20"/>
          <w:szCs w:val="20"/>
        </w:rPr>
        <w:t>3.2. Информационное обеспечение обучения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Перечень рекомендуемых учебных изданий, Интернет-ресурсов, дополнительной литературы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Основные источники: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284" w:leader="none"/>
          <w:tab w:val="left" w:pos="567" w:leader="none"/>
        </w:tabs>
        <w:spacing w:before="0" w:after="0"/>
        <w:ind w:hanging="0" w:left="0"/>
        <w:rPr>
          <w:sz w:val="20"/>
          <w:szCs w:val="20"/>
        </w:rPr>
      </w:pPr>
      <w:r>
        <w:rPr>
          <w:sz w:val="20"/>
          <w:szCs w:val="20"/>
        </w:rPr>
        <w:t>Косолапова Н.В. Безопасность жизнедеятельности: Практикум /Н.В. Косолапова, Н.А. Прокопенко, Е.Л. Побежимова. – 5-е изд., стереотип. – М.: Издательский центр «Академия», 2016. - 128 с.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284" w:leader="none"/>
          <w:tab w:val="left" w:pos="567" w:leader="none"/>
        </w:tabs>
        <w:spacing w:before="0" w:after="0"/>
        <w:ind w:hanging="0" w:left="0"/>
        <w:rPr>
          <w:sz w:val="20"/>
          <w:szCs w:val="20"/>
        </w:rPr>
      </w:pPr>
      <w:r>
        <w:rPr>
          <w:sz w:val="20"/>
          <w:szCs w:val="20"/>
        </w:rPr>
        <w:t>Основы подготовки к военной службе. Сухопутные войска: Практикум /В.А. Васнёв, В.П. Дронов, А.Т. Смирнов, Б.О. Хренников. – М.: Просвещение, 2016. – 111 с.: ил.</w:t>
      </w:r>
    </w:p>
    <w:p>
      <w:pPr>
        <w:pStyle w:val="BodyText"/>
        <w:numPr>
          <w:ilvl w:val="0"/>
          <w:numId w:val="19"/>
        </w:numPr>
        <w:tabs>
          <w:tab w:val="clear" w:pos="708"/>
          <w:tab w:val="left" w:pos="284" w:leader="none"/>
          <w:tab w:val="left" w:pos="567" w:leader="none"/>
        </w:tabs>
        <w:spacing w:before="0" w:after="0"/>
        <w:ind w:hanging="0" w:left="0"/>
        <w:rPr>
          <w:sz w:val="20"/>
          <w:szCs w:val="20"/>
        </w:rPr>
      </w:pPr>
      <w:r>
        <w:rPr>
          <w:sz w:val="20"/>
          <w:szCs w:val="20"/>
        </w:rPr>
        <w:t>Основы подготовки к военной службе. Военно-морской флот: Практикум / В.А. Васнёв, В.П. Дронов, А.Т. Смирнов, Б.О. Хренников. – М.: Просвещение, 2016. – 112 с.: ил.</w:t>
      </w:r>
    </w:p>
    <w:p>
      <w:pPr>
        <w:pStyle w:val="BodyText"/>
        <w:numPr>
          <w:ilvl w:val="0"/>
          <w:numId w:val="20"/>
        </w:numPr>
        <w:tabs>
          <w:tab w:val="clear" w:pos="708"/>
          <w:tab w:val="left" w:pos="284" w:leader="none"/>
          <w:tab w:val="left" w:pos="567" w:leader="none"/>
        </w:tabs>
        <w:spacing w:before="0" w:after="0"/>
        <w:ind w:hanging="0" w:left="0"/>
        <w:rPr>
          <w:sz w:val="20"/>
          <w:szCs w:val="20"/>
        </w:rPr>
      </w:pPr>
      <w:r>
        <w:rPr>
          <w:sz w:val="20"/>
          <w:szCs w:val="20"/>
        </w:rPr>
        <w:t>Микрюков В.Ю. Безопасность жизнедеятельности: Учебник для СПО /В.Ю. Микрюков. - 9-е изд., перераб. и доп. – М.: КНОРУС, 2017. – 284 с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567" w:leader="none"/>
        </w:tabs>
        <w:spacing w:lineRule="auto" w:line="240" w:before="0" w:after="0"/>
        <w:ind w:hanging="0" w:left="0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 w:ascii="Times New Roman" w:hAnsi="Times New Roman"/>
          <w:sz w:val="20"/>
          <w:szCs w:val="20"/>
          <w:lang w:eastAsia="en-US"/>
        </w:rPr>
        <w:t>Микрюков В.Ю. Безопасность жизнедеятельности: Учебник для СПО /В.Ю. Микрюков. - 9-е изд., перераб. и доп. – М.: КНОРУС, 2019. – 284 с.</w:t>
      </w:r>
    </w:p>
    <w:p>
      <w:pPr>
        <w:pStyle w:val="BodyText"/>
        <w:spacing w:before="0" w:after="0"/>
        <w:ind w:left="-28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-28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Интернет источники:</w:t>
      </w:r>
    </w:p>
    <w:p>
      <w:pPr>
        <w:pStyle w:val="NormalWeb"/>
        <w:numPr>
          <w:ilvl w:val="0"/>
          <w:numId w:val="22"/>
        </w:numPr>
        <w:tabs>
          <w:tab w:val="clear" w:pos="708"/>
        </w:tabs>
        <w:spacing w:beforeAutospacing="0" w:before="0" w:afterAutospacing="0" w:after="0"/>
        <w:ind w:hanging="0" w:left="0"/>
        <w:rPr>
          <w:sz w:val="20"/>
          <w:szCs w:val="20"/>
        </w:rPr>
      </w:pPr>
      <w:r>
        <w:rPr>
          <w:sz w:val="20"/>
          <w:szCs w:val="20"/>
        </w:rPr>
        <w:t xml:space="preserve">Общевоинские уставы Вооружённых Сил Российской Федерации. Режим доступа: http://www.consultant.ru/cons/cgi/online.cgi?req=doc&amp;base=LAW&amp;n=304569&amp;fld=134&amp;dst=1000000001,0&amp;rnd=0.14677795305335617#06924876820221091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4. Контроль и оценка результатов освоения Дисциплины «БЕЗОПАСНОСТЬ ЖИЗНЕДЕЯТЕЛЬНОСТИ»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Контроль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и оценка</w:t>
      </w:r>
      <w:r>
        <w:rPr>
          <w:sz w:val="20"/>
          <w:szCs w:val="20"/>
        </w:rPr>
        <w:t xml:space="preserve"> результатов освоения дисциплины осуществляется преподавателем в процессе проведения практических занятий и приёма нормативов, а также сдачи обучающимися экзамена.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18"/>
        <w:gridCol w:w="6451"/>
      </w:tblGrid>
      <w:tr>
        <w:trPr/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 обучения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>
        <w:trPr/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Освоенные умения: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использовать средства индивидуальной и коллективной защиты от оружия массового поражения;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применять первичные средства пожаротушения;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оказывать первую помощь пострадавшим.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Усвоенные знания: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основы военной службы и обороны государства;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задачи и основные мероприятия гражданской обороны;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способы защиты населения от оружия массового поражения;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организацию и порядок призыва граждан на военную службу и поступления на неё в добровольном порядке;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порядок и правила оказания первой помощи пострадавшим.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Формы контроля обучения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домашние задания проблемного характера;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практические задания по работе с информацией, документами, литературой;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подготовка и защита индивидуальных и групповых заданий проектного характера.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Формы оценки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результативности обучения: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накопительная система баллов, на основе которой  выставляется итоговая отметка.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Методы контроля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направлены на проверку умения учащихся: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выполнять условия здания на творческом уровне с представлением собственной позиции;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делать осознанный выбор способов действий из ранее известных;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осуществлять коррекцию (исправление) сделанных ошибок на новом уровне предлагаемых заданий;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работать в группе и представлять как свою, так  и позицию группы;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методы оценки результатов обучения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мониторинг роста творческой самостоятельности и навыков получения нового знания каждым обучающимся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Cs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>
      <w:pPr>
        <w:pStyle w:val="NormalWeb"/>
        <w:spacing w:before="49" w:afterAutospacing="0" w:after="0"/>
        <w:ind w:firstLine="709"/>
        <w:rPr>
          <w:sz w:val="20"/>
          <w:szCs w:val="20"/>
        </w:rPr>
      </w:pPr>
      <w:r>
        <w:rPr>
          <w:sz w:val="20"/>
          <w:szCs w:val="20"/>
        </w:rPr>
        <w:t>Для проверки знаний студентов по окончании изучения отдельных разделов и тем можно рекомендовать рубежный контроль, в том числе в форме рейтинга. Для контроля и оценки знаний по всем темам дисциплины рекомендуется использовать компьютерные технологии.</w:t>
      </w:r>
    </w:p>
    <w:p>
      <w:pPr>
        <w:pStyle w:val="Normal"/>
        <w:spacing w:before="0" w:after="200"/>
        <w:rPr/>
      </w:pPr>
      <w:r>
        <w:rPr/>
      </w:r>
    </w:p>
    <w:sectPr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0" w:top="1701" w:footer="708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750.6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716.35pt;margin-top:0.05pt;width:12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1639"/>
        </w:tabs>
        <w:ind w:left="16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1639"/>
        </w:tabs>
        <w:ind w:left="16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719"/>
        </w:tabs>
        <w:ind w:left="2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9"/>
        </w:tabs>
        <w:ind w:left="34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159"/>
        </w:tabs>
        <w:ind w:left="41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79"/>
        </w:tabs>
        <w:ind w:left="4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9"/>
        </w:tabs>
        <w:ind w:left="55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19"/>
        </w:tabs>
        <w:ind w:left="63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39"/>
        </w:tabs>
        <w:ind w:left="7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9"/>
        </w:tabs>
        <w:ind w:left="775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1639"/>
        </w:tabs>
        <w:ind w:left="16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719"/>
        </w:tabs>
        <w:ind w:left="2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9"/>
        </w:tabs>
        <w:ind w:left="34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159"/>
        </w:tabs>
        <w:ind w:left="41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79"/>
        </w:tabs>
        <w:ind w:left="4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9"/>
        </w:tabs>
        <w:ind w:left="55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19"/>
        </w:tabs>
        <w:ind w:left="63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39"/>
        </w:tabs>
        <w:ind w:left="7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9"/>
        </w:tabs>
        <w:ind w:left="775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1"/>
        </w:tabs>
        <w:ind w:left="1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731"/>
        </w:tabs>
        <w:ind w:left="731" w:hanging="180"/>
      </w:pPr>
      <w:rPr/>
    </w:lvl>
    <w:lvl w:ilvl="3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71"/>
        </w:tabs>
        <w:ind w:left="217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891"/>
        </w:tabs>
        <w:ind w:left="2891" w:hanging="180"/>
      </w:pPr>
      <w:rPr/>
    </w:lvl>
    <w:lvl w:ilvl="6">
      <w:start w:val="1"/>
      <w:numFmt w:val="decimal"/>
      <w:lvlText w:val="%7."/>
      <w:lvlJc w:val="left"/>
      <w:pPr>
        <w:tabs>
          <w:tab w:val="num" w:pos="3611"/>
        </w:tabs>
        <w:ind w:left="361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4331"/>
        </w:tabs>
        <w:ind w:left="433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5051"/>
        </w:tabs>
        <w:ind w:left="5051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9"/>
    <w:lvlOverride w:ilvl="0">
      <w:startOverride w:val="1"/>
    </w:lvlOverride>
  </w:num>
  <w:num w:numId="14">
    <w:abstractNumId w:val="9"/>
  </w:num>
  <w:num w:numId="15">
    <w:abstractNumId w:val="9"/>
  </w:num>
  <w:num w:numId="16">
    <w:abstractNumId w:val="9"/>
  </w:num>
  <w:num w:numId="17">
    <w:abstractNumId w:val="10"/>
    <w:lvlOverride w:ilvl="0">
      <w:startOverride w:val="1"/>
    </w:lvlOverride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3b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4023b1"/>
    <w:pPr>
      <w:keepNext w:val="true"/>
      <w:spacing w:lineRule="auto" w:line="240" w:before="0" w:after="0"/>
      <w:ind w:firstLine="284"/>
      <w:outlineLvl w:val="0"/>
    </w:pPr>
    <w:rPr>
      <w:rFonts w:ascii="Times New Roman" w:hAnsi="Times New Roman"/>
      <w:sz w:val="24"/>
      <w:szCs w:val="24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4023b1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Style13" w:customStyle="1">
    <w:name w:val="Текст сноски Знак"/>
    <w:basedOn w:val="DefaultParagraphFont"/>
    <w:uiPriority w:val="99"/>
    <w:semiHidden/>
    <w:qFormat/>
    <w:locked/>
    <w:rsid w:val="004023b1"/>
    <w:rPr>
      <w:rFonts w:ascii="Times New Roman" w:hAnsi="Times New Roman" w:cs="Times New Roman"/>
      <w:lang w:val="en-US" w:eastAsia="x-none"/>
    </w:rPr>
  </w:style>
  <w:style w:type="character" w:styleId="11" w:customStyle="1">
    <w:name w:val="Текст сноски Знак1"/>
    <w:basedOn w:val="DefaultParagraphFont"/>
    <w:uiPriority w:val="99"/>
    <w:semiHidden/>
    <w:qFormat/>
    <w:rsid w:val="004023b1"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4" w:customStyle="1">
    <w:name w:val="Абзац списка Знак"/>
    <w:link w:val="ListParagraph"/>
    <w:uiPriority w:val="34"/>
    <w:qFormat/>
    <w:locked/>
    <w:rsid w:val="004023b1"/>
    <w:rPr>
      <w:rFonts w:ascii="Times New Roman" w:hAnsi="Times New Roman" w:cs="Times New Roman"/>
      <w:sz w:val="24"/>
      <w:szCs w:val="24"/>
      <w:lang w:val="x-none" w:eastAsia="x-none"/>
    </w:rPr>
  </w:style>
  <w:style w:type="character" w:styleId="Style15">
    <w:name w:val="Символ сноски"/>
    <w:uiPriority w:val="99"/>
    <w:semiHidden/>
    <w:unhideWhenUsed/>
    <w:qFormat/>
    <w:rsid w:val="004023b1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Style16" w:customStyle="1">
    <w:name w:val="Нижний колонтитул Знак"/>
    <w:basedOn w:val="DefaultParagraphFont"/>
    <w:qFormat/>
    <w:rsid w:val="004023b1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rsid w:val="004023b1"/>
    <w:rPr/>
  </w:style>
  <w:style w:type="character" w:styleId="Style17" w:customStyle="1">
    <w:name w:val="Основной текст Знак"/>
    <w:basedOn w:val="DefaultParagraphFont"/>
    <w:qFormat/>
    <w:rsid w:val="004023b1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Style18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rsid w:val="004023b1"/>
    <w:pPr>
      <w:spacing w:lineRule="auto" w:line="240" w:before="0" w:after="120"/>
    </w:pPr>
    <w:rPr>
      <w:rFonts w:ascii="Times New Roman" w:hAnsi="Times New Roman"/>
      <w:sz w:val="24"/>
      <w:szCs w:val="24"/>
      <w:lang w:val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3"/>
    <w:uiPriority w:val="99"/>
    <w:semiHidden/>
    <w:unhideWhenUsed/>
    <w:qFormat/>
    <w:rsid w:val="004023b1"/>
    <w:pPr>
      <w:spacing w:lineRule="auto" w:line="240" w:before="0" w:after="0"/>
    </w:pPr>
    <w:rPr>
      <w:rFonts w:ascii="Times New Roman" w:hAnsi="Times New Roman" w:eastAsia="Calibri" w:eastAsiaTheme="minorHAnsi"/>
      <w:lang w:val="en-US" w:eastAsia="x-none"/>
    </w:rPr>
  </w:style>
  <w:style w:type="paragraph" w:styleId="ListParagraph">
    <w:name w:val="List Paragraph"/>
    <w:basedOn w:val="Normal"/>
    <w:link w:val="Style14"/>
    <w:uiPriority w:val="34"/>
    <w:qFormat/>
    <w:rsid w:val="004023b1"/>
    <w:pPr>
      <w:spacing w:lineRule="auto" w:line="240" w:before="120" w:after="120"/>
      <w:ind w:left="708"/>
    </w:pPr>
    <w:rPr>
      <w:rFonts w:ascii="Times New Roman" w:hAnsi="Times New Roman" w:eastAsia="Calibri" w:eastAsiaTheme="minorHAnsi"/>
      <w:sz w:val="24"/>
      <w:szCs w:val="24"/>
      <w:lang w:val="x-none" w:eastAsia="x-non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6"/>
    <w:rsid w:val="004023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NormalWeb">
    <w:name w:val="Normal (Web)"/>
    <w:basedOn w:val="Normal"/>
    <w:qFormat/>
    <w:rsid w:val="004023b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LibreOffice/24.8.6.2$Windows_X86_64 LibreOffice_project/6d98ba145e9a8a39fc57bcc76981d1fb1316c60c</Application>
  <AppVersion>15.0000</AppVersion>
  <Pages>11</Pages>
  <Words>2156</Words>
  <Characters>15457</Characters>
  <CharactersWithSpaces>17349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2024-04-06T14:56:00Z</dcterms:created>
  <dc:creator>Tanuka</dc:creator>
  <dc:description/>
  <dc:language>ru-RU</dc:language>
  <cp:lastModifiedBy/>
  <dcterms:modified xsi:type="dcterms:W3CDTF">2025-05-10T19:34:40Z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